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hAnsi="黑体" w:eastAsia="黑体" w:cs="黑体"/>
          <w:b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金融</w:t>
      </w:r>
      <w:r>
        <w:rPr>
          <w:rFonts w:hint="eastAsia" w:ascii="黑体" w:hAnsi="黑体" w:eastAsia="黑体" w:cs="黑体"/>
          <w:b/>
          <w:sz w:val="36"/>
          <w:szCs w:val="36"/>
          <w:highlight w:val="none"/>
          <w:lang w:eastAsia="zh-CN"/>
        </w:rPr>
        <w:t>专硕</w:t>
      </w:r>
      <w:r>
        <w:rPr>
          <w:rFonts w:ascii="黑体" w:hAnsi="黑体" w:eastAsia="黑体" w:cs="黑体"/>
          <w:b/>
          <w:sz w:val="36"/>
          <w:szCs w:val="36"/>
          <w:highlight w:val="none"/>
        </w:rPr>
        <w:t>0251</w:t>
      </w:r>
      <w:r>
        <w:rPr>
          <w:rFonts w:hint="eastAsia" w:ascii="黑体" w:hAnsi="黑体" w:eastAsia="黑体" w:cs="黑体"/>
          <w:b/>
          <w:sz w:val="36"/>
          <w:szCs w:val="36"/>
          <w:highlight w:val="none"/>
          <w:lang w:eastAsia="zh-CN"/>
        </w:rPr>
        <w:t>培养方案</w:t>
      </w:r>
      <w:r>
        <w:rPr>
          <w:rFonts w:ascii="黑体" w:hAnsi="黑体" w:eastAsia="黑体" w:cs="黑体"/>
          <w:b/>
          <w:sz w:val="36"/>
          <w:szCs w:val="36"/>
          <w:highlight w:val="none"/>
        </w:rPr>
        <w:t xml:space="preserve"> </w:t>
      </w:r>
      <w:bookmarkStart w:id="0" w:name="_GoBack"/>
      <w:bookmarkEnd w:id="0"/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一、培养目标</w:t>
      </w:r>
    </w:p>
    <w:p>
      <w:pPr>
        <w:spacing w:line="420" w:lineRule="exact"/>
        <w:ind w:firstLine="470" w:firstLineChars="196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培养具有扎实的经济、金融学理论基础，良好的职业道德，富有创新和进取精神，系统掌握投融资管理技能、金融交易技术与操作、金融产品设计与定价、财务分析、金融风险管理以及相关领域的知识和技能，具有较强的从事金融实际工作能力的高层次应用型金融专业人才。</w:t>
      </w: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二、基本素养与职业能力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基本素养包括：掌握马克思主义基本原理和中国特色社会主义理论体系，德智体美全面发展，具备良好的职业道德，专业素养和综合素质，身心健康。</w:t>
      </w:r>
    </w:p>
    <w:p>
      <w:pPr>
        <w:spacing w:line="420" w:lineRule="exact"/>
        <w:ind w:firstLine="470" w:firstLineChars="196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职业技能包括：良好的语言表达与沟通能力，良好的专业写作能力，金融产品营销策划能力，金融项目管理及协调能力，金融形势与政策分析预判能力。</w:t>
      </w: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三、研究方向</w:t>
      </w:r>
    </w:p>
    <w:p>
      <w:pPr>
        <w:spacing w:line="420" w:lineRule="exact"/>
        <w:ind w:left="210" w:leftChars="100" w:firstLine="240" w:firstLineChars="1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（一）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银行管理</w:t>
      </w:r>
    </w:p>
    <w:p>
      <w:pPr>
        <w:spacing w:line="420" w:lineRule="exact"/>
        <w:ind w:left="210" w:leftChars="100" w:firstLine="240" w:firstLineChars="1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（二）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证劵与投融资</w:t>
      </w:r>
    </w:p>
    <w:p>
      <w:pPr>
        <w:spacing w:line="420" w:lineRule="exact"/>
        <w:ind w:left="210" w:leftChars="100" w:firstLine="240" w:firstLineChars="1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（三）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微金融与科技金融</w:t>
      </w:r>
    </w:p>
    <w:p>
      <w:pPr>
        <w:spacing w:line="420" w:lineRule="exact"/>
        <w:ind w:firstLine="477" w:firstLineChars="198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77" w:firstLineChars="198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四、学习年限</w:t>
      </w:r>
    </w:p>
    <w:p>
      <w:pPr>
        <w:spacing w:line="420" w:lineRule="exact"/>
        <w:ind w:firstLine="480" w:firstLineChars="200"/>
        <w:textAlignment w:val="baseline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学制</w:t>
      </w:r>
      <w:r>
        <w:rPr>
          <w:rFonts w:asciiTheme="minorEastAsia" w:hAnsiTheme="minorEastAsia" w:cstheme="minorEastAsia"/>
          <w:sz w:val="24"/>
          <w:szCs w:val="24"/>
          <w:highlight w:val="none"/>
        </w:rPr>
        <w:t>2年，最长学习年限4年（含休学和保留学籍），学位论文工作时间不少于1年。对提前完成规定学业、成绩特别优秀的研究生，可按《广东财经大学硕士研究生提前毕业暂行规定》申请提前毕业。</w:t>
      </w: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72" w:firstLineChars="196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五、培养方式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（一）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教学方式注重理论联系实际，采用课堂讲授与案例教学相结合，培养学生分析问题和解决问题的能力，并聘请有实践经验的专家、企业家和监管部门的人员开设讲座或承担部分课程。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（二）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考评方式要综合评定学生的学习成绩，包括考试、平时作业、案例分析、课堂讨论、撰写专题报告等。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（三）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加强实践环节培养，在金融机构或政府及企事业单位的金融工作岗位实习不少于3个月。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="宋体" w:hAnsi="宋体" w:cs="华文宋体"/>
          <w:sz w:val="24"/>
          <w:szCs w:val="24"/>
          <w:highlight w:val="none"/>
        </w:rPr>
        <w:t>（四）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注重职业道德培养。</w:t>
      </w: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六、课程设置及要求</w:t>
      </w:r>
    </w:p>
    <w:p>
      <w:pPr>
        <w:widowControl/>
        <w:spacing w:line="420" w:lineRule="exact"/>
        <w:ind w:firstLine="480" w:firstLineChars="200"/>
        <w:jc w:val="left"/>
        <w:textAlignment w:val="baseline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研究生课程分学位类和非学位类两种，本专业公共基础课、专业必修课为学位类课程，专业选修课为非学位类课程，</w:t>
      </w:r>
      <w:r>
        <w:rPr>
          <w:rFonts w:asciiTheme="minorEastAsia" w:hAnsiTheme="minorEastAsia" w:cstheme="minorEastAsia"/>
          <w:sz w:val="24"/>
          <w:szCs w:val="24"/>
          <w:highlight w:val="none"/>
        </w:rPr>
        <w:t>18个学时计1学分。</w:t>
      </w:r>
    </w:p>
    <w:p>
      <w:pPr>
        <w:spacing w:line="420" w:lineRule="exact"/>
        <w:ind w:firstLine="570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七、专业实践要求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highlight w:val="none"/>
        </w:rPr>
        <w:t>研究生应根据培养计划在金融实体机构或金融管理部门从事不少于3个月的专业实践。实践内容包括金融管理、金融服务、金融营销、金融产品设计与开发、金融热点或重点问题的调查研究等。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专业实习由研究生与校外导师根据双向选择方式商定实习单位，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集中实习指导性时间为第二学期结束后的</w:t>
      </w:r>
      <w:r>
        <w:rPr>
          <w:rFonts w:asciiTheme="minorEastAsia" w:hAnsiTheme="minorEastAsia" w:cstheme="minorEastAsia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9、10、11月份。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研究生实习前应撰写实习计划，完成实习后应撰写实习报告（3000字左右）,填写实习鉴定表并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highlight w:val="none"/>
        </w:rPr>
        <w:t>出具实践单位的考核评价结果，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交校外导师评阅，合格者计4学分。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highlight w:val="none"/>
        </w:rPr>
        <w:t>专业实践不合格,不予申请硕士学位。</w:t>
      </w:r>
    </w:p>
    <w:p>
      <w:pPr>
        <w:spacing w:line="420" w:lineRule="exact"/>
        <w:ind w:firstLine="570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八、其他培养环节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为拓宽研究生视野，促使其主动关心和了解学科发展前沿，研究生要积极参加学术讲座，每位硕士生在学期间参加校内外的学术活动不少于8次（学院组织或经导师认可），在导师指导下自行组织参加“挑战杯”课外学术作品竞赛、创业计划大赛、暑期社会实践活动或其他校级及以上科技竞赛活动不少于1次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研究生在校学习期间应根据本人研究方向及校内导师的具体规定，系统阅读相关中外专业文献不少于10篇（部），在中期考核前撰写5000字以上的读书报告（在其后列出所阅读的文献目录），校内导师对报告进行批阅、考核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完成以上学术科技竞赛活动及文献阅读，校内导师评价合格后计1学分, 不合格者不能进入开题环节。</w:t>
      </w:r>
    </w:p>
    <w:p>
      <w:pPr>
        <w:spacing w:line="420" w:lineRule="exact"/>
        <w:rPr>
          <w:rFonts w:asciiTheme="minorEastAsia" w:hAnsiTheme="minorEastAsia" w:cstheme="minorEastAsia"/>
          <w:b/>
          <w:sz w:val="24"/>
          <w:szCs w:val="24"/>
          <w:highlight w:val="none"/>
        </w:rPr>
      </w:pP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</w:rPr>
        <w:t>九、考核方式及要求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学位类课程考核方式为：笔试（以下均含闭卷、开卷）、笔试结合课程论文、笔试结合口试、笔试结合实验设计等；非学位类课程考核方式为：笔试、口试、课程论文、课程论文结合实验设计、实验设计等形式，具体方式由任课教师确定。经考核合格，学位类课程达到70分以上可获得学分，其他类课程达到60分以上可获得学分。</w:t>
      </w:r>
    </w:p>
    <w:p>
      <w:pPr>
        <w:spacing w:line="420" w:lineRule="exact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 xml:space="preserve">    跨专业及同等学力考取的研究生应补修 2门本科主干课程并列入个人培养计划，具体是《会计学原理》、《经济学原理》，补修方式按学院规定。补修课程采取闭卷考试，达到60分为合格，不记学分，应补修而未补修或者补修成绩不合格者不能进入学位论文撰写阶段。</w:t>
      </w:r>
    </w:p>
    <w:p>
      <w:pPr>
        <w:spacing w:line="420" w:lineRule="exact"/>
        <w:ind w:firstLine="570"/>
        <w:rPr>
          <w:rFonts w:asciiTheme="minorEastAsia" w:hAnsiTheme="minorEastAsia" w:cstheme="minorEastAsia"/>
          <w:b/>
          <w:sz w:val="24"/>
          <w:szCs w:val="24"/>
          <w:highlight w:val="none"/>
        </w:rPr>
      </w:pP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</w:rPr>
        <w:t>十、毕业学分及要求</w:t>
      </w:r>
    </w:p>
    <w:p>
      <w:pPr>
        <w:spacing w:line="420" w:lineRule="exact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毕业要求总学分为39学分，其中课程34学分，专业实践及其它培养环节5学分。研究生修满学分，中期考核合格，</w:t>
      </w:r>
      <w:r>
        <w:rPr>
          <w:rFonts w:hint="eastAsia" w:ascii="宋体" w:hAnsi="宋体" w:cs="宋体"/>
          <w:sz w:val="24"/>
          <w:szCs w:val="24"/>
          <w:highlight w:val="none"/>
        </w:rPr>
        <w:t>完成必修环节，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完成毕业论文并通过毕业答辩，方可毕业。</w:t>
      </w:r>
    </w:p>
    <w:p>
      <w:pPr>
        <w:spacing w:line="420" w:lineRule="exact"/>
        <w:rPr>
          <w:rFonts w:asciiTheme="minorEastAsia" w:hAnsiTheme="minorEastAsia" w:cstheme="minorEastAsia"/>
          <w:b/>
          <w:sz w:val="24"/>
          <w:szCs w:val="24"/>
          <w:highlight w:val="none"/>
        </w:rPr>
      </w:pPr>
    </w:p>
    <w:p>
      <w:pPr>
        <w:spacing w:line="420" w:lineRule="exact"/>
        <w:ind w:firstLine="482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</w:rPr>
        <w:t>十一、学位论文及学位授予</w:t>
      </w:r>
    </w:p>
    <w:p>
      <w:pPr>
        <w:spacing w:line="420" w:lineRule="exact"/>
        <w:ind w:firstLine="470" w:firstLineChars="196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硕士学位论文的规范性要求、质量要求见《广东财经大学一级学科硕士学位授予标准（2019级）》、《广东财经大学专业学位授予标准（2019级）》和《广东财经大学硕士学位论文写作规范》等文件，学位论文与学位授予工作按学校《广东财经大学学位授予规定》、《广东财经大学学术学位硕士论文工作细则》和《广东财经大学专业学位硕士论文工作细则》等相关规定执行。</w:t>
      </w:r>
    </w:p>
    <w:p>
      <w:pPr>
        <w:spacing w:line="420" w:lineRule="exact"/>
        <w:ind w:firstLine="570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420" w:lineRule="exact"/>
        <w:ind w:firstLine="482" w:firstLineChars="200"/>
        <w:rPr>
          <w:rFonts w:asciiTheme="minorEastAsia" w:hAnsiTheme="minorEastAsia" w:cstheme="minorEastAsia"/>
          <w:b/>
          <w:color w:val="00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 xml:space="preserve">教学设置 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984"/>
        <w:gridCol w:w="709"/>
        <w:gridCol w:w="710"/>
        <w:gridCol w:w="707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类别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课程编号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课程名称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学时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学分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学期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任课教师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highlight w:val="none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公共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基础课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基础英语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唐美玲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Z2203001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中国特色社会主义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理论与实践研究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课程组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必修课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金融理论与政策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段军山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王少林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张春生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投资学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朱顺泉    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邓学斌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公司金融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袁  鲲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马  超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蔡卫星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B0F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梁红玉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中级宏微观经济理论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72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严维石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何  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选修课(银行管理)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商业银行经营与管理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王向荣    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张世春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叶圆圆</w:t>
            </w:r>
          </w:p>
          <w:p>
            <w:pPr>
              <w:widowControl/>
              <w:spacing w:line="240" w:lineRule="exact"/>
              <w:jc w:val="center"/>
              <w:rPr>
                <w:rStyle w:val="4"/>
                <w:rFonts w:asciiTheme="minorEastAsia" w:hAnsi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杨亭亭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FF0000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Z1502032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金融风险管理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徐淑一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郑倩昀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Z1502027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财务报告分析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苏武俊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庄学敏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林大庞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选修课(证券与投融资)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Z1502004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投资银行理论与实务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李  政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苏国强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骆祚炎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Z1502011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</w:rPr>
              <w:t>基金投资与管理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孟令国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郭文伟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Z1502027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财务报告分析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54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苏武俊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庄学敏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林大庞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选修课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Cs w:val="21"/>
                <w:highlight w:val="none"/>
              </w:rPr>
              <w:t>(不限方向)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Z1503007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计量经济学（广财-西澳大学1+1+1双硕士项目）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张  芳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黄金波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Z1502008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金融衍生工具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彭大衡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何晓光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Z1502009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</w:rPr>
              <w:t>财富管理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黄德权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B0F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李亚青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Z1502010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金融监管问题专题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邹新月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赵建群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江振华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Z1502005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投资决策经济分析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（双语）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姚  燕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刘盛宇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Z1502029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微金融与科技金融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（双语）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 xml:space="preserve">刘  刚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丁  杰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袁  嫄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Z1502034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5B9BD5" w:themeColor="accent1"/>
                <w:szCs w:val="2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企业并购与重组实务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胡新明 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赵海珠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Z1502031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量化投资与人工智能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朱顺泉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Z1502035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佛山经济与人文地理系列讲座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导师组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Z1502022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固定收益证券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邓学斌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5B9BD5" w:themeColor="accent1"/>
                <w:szCs w:val="21"/>
                <w:highlight w:val="none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李利平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金融硕士教育中心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highlight w:val="none"/>
              </w:rPr>
              <w:t>其他培养环节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Z1507001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专业实习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Z1507002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</w:rPr>
              <w:t>学术科技竞赛活动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</w:rPr>
              <w:t>与文献阅读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2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highlight w:val="none"/>
              </w:rPr>
              <w:t>总学分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Cs w:val="21"/>
                <w:highlight w:val="none"/>
              </w:rPr>
              <w:t>39学分</w:t>
            </w:r>
          </w:p>
        </w:tc>
      </w:tr>
    </w:tbl>
    <w:p>
      <w:pPr>
        <w:spacing w:line="420" w:lineRule="exact"/>
        <w:rPr>
          <w:rFonts w:asciiTheme="minorEastAsia" w:hAnsi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附录：必读书目（含经典著作、专业文献和专业学术期刊）另列</w:t>
      </w:r>
    </w:p>
    <w:p>
      <w:r>
        <w:rPr>
          <w:rFonts w:ascii="黑体" w:hAnsi="黑体" w:eastAsia="黑体" w:cs="黑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F969"/>
    <w:multiLevelType w:val="singleLevel"/>
    <w:tmpl w:val="3D38F969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00EF6"/>
    <w:rsid w:val="393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不明显强调1"/>
    <w:basedOn w:val="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2020-06-24T07:44:00Z</dcterms:created>
  <dc:creator>王薇</dc:creator>
  <cp:lastModifiedBy>王薇</cp:lastModifiedBy>
  <dcterms:modified xsi:type="dcterms:W3CDTF">2020-06-24T07:45:20Z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